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9E078" w14:textId="77777777" w:rsidR="00947913" w:rsidRPr="00FB0FC4" w:rsidRDefault="00947913" w:rsidP="00947913">
      <w:pPr>
        <w:spacing w:line="240" w:lineRule="auto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2 Learner Appeal</w:t>
      </w:r>
      <w:r w:rsidRPr="00FB0FC4">
        <w:rPr>
          <w:b/>
          <w:color w:val="002060"/>
          <w:sz w:val="28"/>
          <w:szCs w:val="28"/>
        </w:rPr>
        <w:t xml:space="preserve"> Application Form</w:t>
      </w:r>
    </w:p>
    <w:p w14:paraId="54E9E079" w14:textId="6BA20174" w:rsidR="00947913" w:rsidRDefault="00947913" w:rsidP="00947913">
      <w:pPr>
        <w:jc w:val="both"/>
      </w:pPr>
      <w:r>
        <w:t xml:space="preserve">Learners </w:t>
      </w:r>
      <w:r w:rsidRPr="00B25C18">
        <w:t>wishing to ap</w:t>
      </w:r>
      <w:r>
        <w:t>peal a component grade</w:t>
      </w:r>
      <w:r w:rsidRPr="00B25C18">
        <w:t xml:space="preserve"> or any aspect of the assessment process must </w:t>
      </w:r>
      <w:r>
        <w:t xml:space="preserve">contact </w:t>
      </w:r>
      <w:r w:rsidRPr="006E1AAC">
        <w:rPr>
          <w:i/>
          <w:color w:val="5B9BD5"/>
        </w:rPr>
        <w:t>(insert who to contact, how to contact here)</w:t>
      </w:r>
      <w:r w:rsidRPr="00665A8B">
        <w:t xml:space="preserve"> </w:t>
      </w:r>
      <w:r>
        <w:t xml:space="preserve">to discuss the nature of the appeal with the </w:t>
      </w:r>
      <w:proofErr w:type="gramStart"/>
      <w:r>
        <w:t>Principal</w:t>
      </w:r>
      <w:proofErr w:type="gramEnd"/>
      <w:r>
        <w:t xml:space="preserve">/designated staff member.  Following this discussion, learners who wish to make an appeal must </w:t>
      </w:r>
      <w:r w:rsidRPr="00B25C18">
        <w:t>complete this form</w:t>
      </w:r>
      <w:r>
        <w:t xml:space="preserve"> for each appeal</w:t>
      </w:r>
      <w:r w:rsidRPr="00B25C18">
        <w:t xml:space="preserve"> and</w:t>
      </w:r>
      <w:r>
        <w:t xml:space="preserve"> post or email this form to their </w:t>
      </w:r>
      <w:proofErr w:type="spellStart"/>
      <w:r w:rsidR="00BD568C">
        <w:t>c</w:t>
      </w:r>
      <w:r>
        <w:t>entre</w:t>
      </w:r>
      <w:proofErr w:type="spellEnd"/>
      <w:r>
        <w:t xml:space="preserve">, with the </w:t>
      </w:r>
      <w:r w:rsidRPr="00B97795">
        <w:t>Appeal Reference Number</w:t>
      </w:r>
      <w:r>
        <w:t xml:space="preserve"> for €40.00 per appeal </w:t>
      </w:r>
      <w:r w:rsidRPr="00B25C18">
        <w:t>before:</w:t>
      </w:r>
    </w:p>
    <w:p w14:paraId="54E9E07A" w14:textId="77777777" w:rsidR="00947913" w:rsidRPr="00B25C18" w:rsidRDefault="00947913" w:rsidP="00947913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ind w:left="2268" w:right="2142"/>
        <w:jc w:val="center"/>
        <w:rPr>
          <w:b/>
        </w:rPr>
      </w:pPr>
      <w:r>
        <w:rPr>
          <w:b/>
        </w:rPr>
        <w:t>&lt;</w:t>
      </w:r>
      <w:r w:rsidRPr="00B25C18">
        <w:rPr>
          <w:b/>
        </w:rPr>
        <w:t>Insert</w:t>
      </w:r>
      <w:r>
        <w:rPr>
          <w:b/>
        </w:rPr>
        <w:t xml:space="preserve"> Centre</w:t>
      </w:r>
      <w:r w:rsidRPr="00B25C18">
        <w:rPr>
          <w:b/>
        </w:rPr>
        <w:t xml:space="preserve"> Date</w:t>
      </w:r>
      <w:r>
        <w:rPr>
          <w:b/>
        </w:rPr>
        <w:t>&gt;</w:t>
      </w:r>
    </w:p>
    <w:p w14:paraId="54E9E07B" w14:textId="4FE1C7E0" w:rsidR="00947913" w:rsidRPr="00B25C18" w:rsidRDefault="00186FE2" w:rsidP="00947913">
      <w:pPr>
        <w:jc w:val="center"/>
        <w:rPr>
          <w:b/>
          <w:color w:val="FF0000"/>
        </w:rPr>
      </w:pPr>
      <w:r w:rsidRPr="00B25C18">
        <w:rPr>
          <w:b/>
          <w:color w:val="FF0000"/>
        </w:rPr>
        <w:t>App</w:t>
      </w:r>
      <w:r>
        <w:rPr>
          <w:b/>
          <w:color w:val="FF0000"/>
        </w:rPr>
        <w:t>lications received after this date cannot be processed</w:t>
      </w:r>
    </w:p>
    <w:p w14:paraId="10419F80" w14:textId="02253231" w:rsidR="003268D7" w:rsidRDefault="00947913" w:rsidP="003268D7">
      <w:pPr>
        <w:spacing w:after="0"/>
        <w:ind w:left="720" w:hanging="720"/>
        <w:jc w:val="center"/>
      </w:pPr>
      <w:r w:rsidRPr="00B25C18">
        <w:t xml:space="preserve">A fee of </w:t>
      </w:r>
      <w:r>
        <w:rPr>
          <w:b/>
        </w:rPr>
        <w:t>€4</w:t>
      </w:r>
      <w:r w:rsidRPr="00B25C18">
        <w:rPr>
          <w:b/>
        </w:rPr>
        <w:t>0</w:t>
      </w:r>
      <w:r>
        <w:t xml:space="preserve">.00 is payable in respect of the grade </w:t>
      </w:r>
      <w:r w:rsidRPr="00B25C18">
        <w:t>being appealed.</w:t>
      </w:r>
    </w:p>
    <w:p w14:paraId="54E9E07C" w14:textId="68033832" w:rsidR="00947913" w:rsidRDefault="00947913" w:rsidP="003268D7">
      <w:pPr>
        <w:spacing w:after="0"/>
        <w:ind w:left="720" w:hanging="720"/>
        <w:jc w:val="center"/>
      </w:pPr>
      <w:r w:rsidRPr="00B25C18">
        <w:t xml:space="preserve">This fee is refundable in the </w:t>
      </w:r>
      <w:proofErr w:type="gramStart"/>
      <w:r w:rsidRPr="00B25C18">
        <w:t>case</w:t>
      </w:r>
      <w:proofErr w:type="gramEnd"/>
      <w:r w:rsidRPr="00B25C18">
        <w:t xml:space="preserve"> of </w:t>
      </w:r>
      <w:r>
        <w:t xml:space="preserve">a </w:t>
      </w:r>
      <w:r w:rsidRPr="00B25C18">
        <w:t>s</w:t>
      </w:r>
      <w:r>
        <w:t>uccessful appeal.  The Learner must pay the fee to:</w:t>
      </w:r>
    </w:p>
    <w:p w14:paraId="54E9E07D" w14:textId="77777777" w:rsidR="00947913" w:rsidRPr="007A5552" w:rsidRDefault="00947913" w:rsidP="00947913">
      <w:pPr>
        <w:ind w:left="720" w:hanging="720"/>
        <w:jc w:val="center"/>
        <w:rPr>
          <w:b/>
          <w:color w:val="FF0000"/>
          <w:u w:val="single"/>
          <w:lang w:val="ga-IE"/>
        </w:rPr>
      </w:pPr>
      <w:r w:rsidRPr="007A5552">
        <w:rPr>
          <w:b/>
        </w:rPr>
        <w:t xml:space="preserve">CITY OF DUBLIN EDUCATION AND TRAINING BOARD </w:t>
      </w:r>
    </w:p>
    <w:p w14:paraId="54E9E07E" w14:textId="77777777" w:rsidR="00947913" w:rsidRPr="005F3422" w:rsidRDefault="00947913" w:rsidP="00947913">
      <w:pPr>
        <w:spacing w:line="600" w:lineRule="auto"/>
        <w:rPr>
          <w:sz w:val="20"/>
          <w:szCs w:val="20"/>
          <w:u w:val="single"/>
        </w:rPr>
      </w:pPr>
      <w:r w:rsidRPr="005F3422">
        <w:rPr>
          <w:b/>
          <w:sz w:val="20"/>
          <w:szCs w:val="20"/>
        </w:rPr>
        <w:t>Learner’s Name:</w:t>
      </w:r>
      <w:r w:rsidRPr="005F3422">
        <w:rPr>
          <w:sz w:val="20"/>
          <w:szCs w:val="20"/>
        </w:rPr>
        <w:t xml:space="preserve"> </w:t>
      </w:r>
      <w:r w:rsidRPr="005F3422">
        <w:rPr>
          <w:sz w:val="20"/>
          <w:szCs w:val="20"/>
          <w:u w:val="single"/>
        </w:rPr>
        <w:tab/>
      </w:r>
      <w:r w:rsidRPr="005F3422">
        <w:rPr>
          <w:sz w:val="20"/>
          <w:szCs w:val="20"/>
          <w:u w:val="single"/>
        </w:rPr>
        <w:tab/>
      </w:r>
      <w:proofErr w:type="gramStart"/>
      <w:r w:rsidRPr="005F3422">
        <w:rPr>
          <w:sz w:val="20"/>
          <w:szCs w:val="20"/>
          <w:u w:val="single"/>
        </w:rPr>
        <w:tab/>
        <w:t xml:space="preserve">  </w:t>
      </w:r>
      <w:r>
        <w:rPr>
          <w:sz w:val="20"/>
          <w:szCs w:val="20"/>
          <w:u w:val="single"/>
        </w:rPr>
        <w:tab/>
      </w:r>
      <w:proofErr w:type="gramEnd"/>
      <w:r>
        <w:rPr>
          <w:sz w:val="20"/>
          <w:szCs w:val="20"/>
          <w:u w:val="single"/>
        </w:rPr>
        <w:tab/>
      </w:r>
      <w:r w:rsidRPr="005F3422">
        <w:rPr>
          <w:sz w:val="20"/>
          <w:szCs w:val="20"/>
        </w:rPr>
        <w:t xml:space="preserve"> </w:t>
      </w:r>
      <w:r w:rsidRPr="005F3422">
        <w:rPr>
          <w:b/>
          <w:sz w:val="20"/>
          <w:szCs w:val="20"/>
        </w:rPr>
        <w:t>Learner’s PPSN:</w:t>
      </w:r>
      <w:r w:rsidRPr="005F3422">
        <w:rPr>
          <w:sz w:val="20"/>
          <w:szCs w:val="20"/>
        </w:rPr>
        <w:t xml:space="preserve"> </w:t>
      </w:r>
      <w:r w:rsidRPr="005F3422">
        <w:rPr>
          <w:sz w:val="20"/>
          <w:szCs w:val="20"/>
          <w:u w:val="single"/>
        </w:rPr>
        <w:tab/>
      </w:r>
      <w:r w:rsidRPr="005F3422">
        <w:rPr>
          <w:sz w:val="20"/>
          <w:szCs w:val="20"/>
          <w:u w:val="single"/>
        </w:rPr>
        <w:tab/>
      </w:r>
      <w:r w:rsidRPr="005F3422">
        <w:rPr>
          <w:sz w:val="20"/>
          <w:szCs w:val="20"/>
          <w:u w:val="single"/>
        </w:rPr>
        <w:tab/>
        <w:t>_________</w:t>
      </w:r>
    </w:p>
    <w:p w14:paraId="54E9E07F" w14:textId="0053326E" w:rsidR="00947913" w:rsidRDefault="00947913" w:rsidP="00BD568C">
      <w:pPr>
        <w:spacing w:line="240" w:lineRule="auto"/>
        <w:rPr>
          <w:b/>
          <w:i/>
          <w:iCs/>
          <w:sz w:val="16"/>
          <w:szCs w:val="16"/>
          <w:lang w:val="en-IE"/>
        </w:rPr>
      </w:pPr>
      <w:r>
        <w:rPr>
          <w:rStyle w:val="FootnoteReference"/>
          <w:b/>
          <w:sz w:val="20"/>
          <w:szCs w:val="20"/>
        </w:rPr>
        <w:footnoteReference w:id="1"/>
      </w:r>
      <w:r w:rsidRPr="005F3422">
        <w:rPr>
          <w:b/>
          <w:sz w:val="20"/>
          <w:szCs w:val="20"/>
        </w:rPr>
        <w:t xml:space="preserve">Appeal Reference </w:t>
      </w:r>
      <w:proofErr w:type="gramStart"/>
      <w:r w:rsidRPr="005F3422">
        <w:rPr>
          <w:b/>
          <w:sz w:val="20"/>
          <w:szCs w:val="20"/>
        </w:rPr>
        <w:t xml:space="preserve">Number </w:t>
      </w:r>
      <w:r w:rsidR="00122BB8" w:rsidRPr="005F3422">
        <w:rPr>
          <w:sz w:val="20"/>
          <w:szCs w:val="20"/>
        </w:rPr>
        <w:t xml:space="preserve"> </w:t>
      </w:r>
      <w:r w:rsidR="00122BB8" w:rsidRPr="005F3422">
        <w:rPr>
          <w:sz w:val="20"/>
          <w:szCs w:val="20"/>
          <w:u w:val="single"/>
        </w:rPr>
        <w:tab/>
      </w:r>
      <w:proofErr w:type="gramEnd"/>
      <w:r w:rsidR="00122BB8" w:rsidRPr="005F3422">
        <w:rPr>
          <w:sz w:val="20"/>
          <w:szCs w:val="20"/>
          <w:u w:val="single"/>
        </w:rPr>
        <w:tab/>
      </w:r>
      <w:r>
        <w:rPr>
          <w:b/>
          <w:sz w:val="20"/>
          <w:szCs w:val="20"/>
        </w:rPr>
        <w:tab/>
      </w:r>
      <w:r w:rsidRPr="005F3422">
        <w:rPr>
          <w:b/>
          <w:sz w:val="20"/>
          <w:szCs w:val="20"/>
        </w:rPr>
        <w:t xml:space="preserve"> in the total amount of €</w:t>
      </w:r>
      <w:r w:rsidR="00122BB8" w:rsidRPr="005F3422">
        <w:rPr>
          <w:sz w:val="20"/>
          <w:szCs w:val="20"/>
        </w:rPr>
        <w:t xml:space="preserve"> </w:t>
      </w:r>
      <w:r w:rsidR="00122BB8" w:rsidRPr="005F3422">
        <w:rPr>
          <w:sz w:val="20"/>
          <w:szCs w:val="20"/>
          <w:u w:val="single"/>
        </w:rPr>
        <w:tab/>
      </w:r>
      <w:r w:rsidR="00122BB8" w:rsidRPr="005F3422">
        <w:rPr>
          <w:sz w:val="20"/>
          <w:szCs w:val="20"/>
          <w:u w:val="single"/>
        </w:rPr>
        <w:tab/>
      </w:r>
      <w:r w:rsidRPr="005F3422">
        <w:rPr>
          <w:b/>
          <w:sz w:val="20"/>
          <w:szCs w:val="20"/>
        </w:rPr>
        <w:t xml:space="preserve"> in respect of this Appea</w:t>
      </w:r>
      <w:r>
        <w:rPr>
          <w:b/>
        </w:rPr>
        <w:t>l</w:t>
      </w:r>
      <w:r w:rsidR="00BD568C">
        <w:rPr>
          <w:b/>
        </w:rPr>
        <w:br/>
      </w:r>
      <w:r w:rsidR="00BD568C" w:rsidRPr="00421211">
        <w:rPr>
          <w:i/>
          <w:iCs/>
          <w:sz w:val="16"/>
          <w:szCs w:val="16"/>
          <w:lang w:val="en-IE"/>
        </w:rPr>
        <w:t>(</w:t>
      </w:r>
      <w:r w:rsidR="00BD568C">
        <w:rPr>
          <w:i/>
          <w:iCs/>
          <w:sz w:val="16"/>
          <w:szCs w:val="16"/>
          <w:lang w:val="en-IE"/>
        </w:rPr>
        <w:t xml:space="preserve">Reference </w:t>
      </w:r>
      <w:r w:rsidR="00BD568C" w:rsidRPr="00421211">
        <w:rPr>
          <w:i/>
          <w:iCs/>
          <w:sz w:val="16"/>
          <w:szCs w:val="16"/>
          <w:lang w:val="en-IE"/>
        </w:rPr>
        <w:t>format</w:t>
      </w:r>
      <w:r w:rsidR="00BD568C">
        <w:rPr>
          <w:i/>
          <w:iCs/>
          <w:sz w:val="16"/>
          <w:szCs w:val="16"/>
          <w:lang w:val="en-IE"/>
        </w:rPr>
        <w:t>:</w:t>
      </w:r>
      <w:r w:rsidR="00BD568C" w:rsidRPr="00421211">
        <w:rPr>
          <w:i/>
          <w:iCs/>
          <w:sz w:val="16"/>
          <w:szCs w:val="16"/>
          <w:lang w:val="en-IE"/>
        </w:rPr>
        <w:t xml:space="preserve"> </w:t>
      </w:r>
      <w:r w:rsidR="00BD568C" w:rsidRPr="00421211">
        <w:rPr>
          <w:b/>
          <w:i/>
          <w:iCs/>
          <w:sz w:val="16"/>
          <w:szCs w:val="16"/>
          <w:lang w:val="en-IE"/>
        </w:rPr>
        <w:t xml:space="preserve">Centre Number </w:t>
      </w:r>
      <w:r w:rsidR="00BD568C">
        <w:rPr>
          <w:b/>
          <w:i/>
          <w:iCs/>
          <w:sz w:val="16"/>
          <w:szCs w:val="16"/>
          <w:lang w:val="en-IE"/>
        </w:rPr>
        <w:t xml:space="preserve">+ </w:t>
      </w:r>
      <w:r w:rsidR="00BD568C" w:rsidRPr="00421211">
        <w:rPr>
          <w:b/>
          <w:i/>
          <w:iCs/>
          <w:sz w:val="16"/>
          <w:szCs w:val="16"/>
          <w:lang w:val="en-IE"/>
        </w:rPr>
        <w:t xml:space="preserve">Appeal </w:t>
      </w:r>
      <w:r w:rsidR="00BD568C">
        <w:rPr>
          <w:b/>
          <w:i/>
          <w:iCs/>
          <w:sz w:val="16"/>
          <w:szCs w:val="16"/>
          <w:lang w:val="en-IE"/>
        </w:rPr>
        <w:t xml:space="preserve">+ </w:t>
      </w:r>
      <w:r w:rsidR="00BD568C" w:rsidRPr="00421211">
        <w:rPr>
          <w:b/>
          <w:i/>
          <w:iCs/>
          <w:sz w:val="16"/>
          <w:szCs w:val="16"/>
          <w:lang w:val="en-IE"/>
        </w:rPr>
        <w:t>Reference Numbe</w:t>
      </w:r>
      <w:r w:rsidR="00BD568C">
        <w:rPr>
          <w:b/>
          <w:i/>
          <w:iCs/>
          <w:sz w:val="16"/>
          <w:szCs w:val="16"/>
          <w:lang w:val="en-IE"/>
        </w:rPr>
        <w:t>r</w:t>
      </w:r>
      <w:r w:rsidR="00BD568C" w:rsidRPr="00421211">
        <w:rPr>
          <w:b/>
          <w:i/>
          <w:iCs/>
          <w:sz w:val="16"/>
          <w:szCs w:val="16"/>
          <w:lang w:val="en-IE"/>
        </w:rPr>
        <w:t xml:space="preserve">, </w:t>
      </w:r>
      <w:proofErr w:type="spellStart"/>
      <w:r w:rsidR="00BD568C" w:rsidRPr="00421211">
        <w:rPr>
          <w:b/>
          <w:i/>
          <w:iCs/>
          <w:sz w:val="16"/>
          <w:szCs w:val="16"/>
          <w:lang w:val="en-IE"/>
        </w:rPr>
        <w:t>e.g</w:t>
      </w:r>
      <w:proofErr w:type="spellEnd"/>
      <w:r w:rsidR="00BD568C" w:rsidRPr="00421211">
        <w:rPr>
          <w:b/>
          <w:i/>
          <w:iCs/>
          <w:sz w:val="16"/>
          <w:szCs w:val="16"/>
          <w:lang w:val="en-IE"/>
        </w:rPr>
        <w:t xml:space="preserve">: 10 Appeal </w:t>
      </w:r>
      <w:r w:rsidR="00BD568C">
        <w:rPr>
          <w:b/>
          <w:i/>
          <w:iCs/>
          <w:sz w:val="16"/>
          <w:szCs w:val="16"/>
          <w:lang w:val="en-IE"/>
        </w:rPr>
        <w:t>01</w:t>
      </w:r>
      <w:r w:rsidR="00BD568C" w:rsidRPr="00421211">
        <w:rPr>
          <w:b/>
          <w:i/>
          <w:iCs/>
          <w:sz w:val="16"/>
          <w:szCs w:val="16"/>
          <w:lang w:val="en-IE"/>
        </w:rPr>
        <w:t>)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1"/>
        <w:gridCol w:w="6095"/>
        <w:gridCol w:w="1843"/>
      </w:tblGrid>
      <w:tr w:rsidR="00947913" w:rsidRPr="00B25C18" w14:paraId="54E9E085" w14:textId="77777777" w:rsidTr="00FE66D4">
        <w:tc>
          <w:tcPr>
            <w:tcW w:w="2411" w:type="dxa"/>
          </w:tcPr>
          <w:p w14:paraId="04923C09" w14:textId="77777777" w:rsidR="001408F8" w:rsidRDefault="001408F8" w:rsidP="00FE66D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54E9E080" w14:textId="549C3445" w:rsidR="00947913" w:rsidRDefault="00947913" w:rsidP="00FE66D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F61CD">
              <w:rPr>
                <w:b/>
                <w:sz w:val="20"/>
                <w:szCs w:val="20"/>
              </w:rPr>
              <w:t xml:space="preserve">QQI COMPONENT CODE </w:t>
            </w:r>
            <w:r w:rsidR="007E708B">
              <w:rPr>
                <w:b/>
                <w:sz w:val="20"/>
                <w:szCs w:val="20"/>
              </w:rPr>
              <w:br/>
            </w:r>
            <w:r w:rsidRPr="005F61CD">
              <w:rPr>
                <w:b/>
                <w:sz w:val="20"/>
                <w:szCs w:val="20"/>
              </w:rPr>
              <w:t xml:space="preserve">+ TITLE </w:t>
            </w:r>
          </w:p>
          <w:p w14:paraId="54E9E081" w14:textId="77777777" w:rsidR="00947913" w:rsidRPr="0045211F" w:rsidRDefault="00947913" w:rsidP="00FE66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211F">
              <w:rPr>
                <w:sz w:val="20"/>
                <w:szCs w:val="20"/>
              </w:rPr>
              <w:t>(one appeal per sheet)</w:t>
            </w:r>
          </w:p>
        </w:tc>
        <w:tc>
          <w:tcPr>
            <w:tcW w:w="6095" w:type="dxa"/>
          </w:tcPr>
          <w:p w14:paraId="54E9E082" w14:textId="77777777" w:rsidR="00947913" w:rsidRPr="005F61CD" w:rsidRDefault="00947913" w:rsidP="00FE66D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F61CD">
              <w:rPr>
                <w:b/>
                <w:sz w:val="20"/>
                <w:szCs w:val="20"/>
              </w:rPr>
              <w:t xml:space="preserve">GROUNDS FOR APPEAL </w:t>
            </w:r>
          </w:p>
        </w:tc>
        <w:tc>
          <w:tcPr>
            <w:tcW w:w="1843" w:type="dxa"/>
          </w:tcPr>
          <w:p w14:paraId="54E9E083" w14:textId="77777777" w:rsidR="00947913" w:rsidRPr="005F61CD" w:rsidRDefault="00947913" w:rsidP="00FE66D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F61CD">
              <w:rPr>
                <w:b/>
                <w:sz w:val="20"/>
                <w:szCs w:val="20"/>
              </w:rPr>
              <w:t xml:space="preserve">Please Tick </w:t>
            </w:r>
          </w:p>
          <w:p w14:paraId="54E9E084" w14:textId="77777777" w:rsidR="00947913" w:rsidRPr="005F61CD" w:rsidRDefault="00947913" w:rsidP="00FE66D4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5F61CD">
              <w:rPr>
                <w:i/>
                <w:sz w:val="20"/>
                <w:szCs w:val="20"/>
              </w:rPr>
              <w:t>(as relevant)</w:t>
            </w:r>
          </w:p>
        </w:tc>
      </w:tr>
      <w:tr w:rsidR="009942FD" w:rsidRPr="00B25C18" w14:paraId="54E9E089" w14:textId="77777777" w:rsidTr="00FE66D4">
        <w:trPr>
          <w:trHeight w:hRule="exact" w:val="744"/>
        </w:trPr>
        <w:tc>
          <w:tcPr>
            <w:tcW w:w="2411" w:type="dxa"/>
            <w:vMerge w:val="restart"/>
          </w:tcPr>
          <w:p w14:paraId="54E9E086" w14:textId="77777777" w:rsidR="009942FD" w:rsidRPr="005F61CD" w:rsidRDefault="009942FD" w:rsidP="00FE66D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</w:tcPr>
          <w:p w14:paraId="54E9E087" w14:textId="77777777" w:rsidR="009942FD" w:rsidRPr="005F61CD" w:rsidRDefault="009942FD" w:rsidP="00FE66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F61CD">
              <w:rPr>
                <w:sz w:val="20"/>
                <w:szCs w:val="20"/>
              </w:rPr>
              <w:t>Learner believes marks were not added correctly or were not recorded properly</w:t>
            </w:r>
          </w:p>
        </w:tc>
        <w:tc>
          <w:tcPr>
            <w:tcW w:w="1843" w:type="dxa"/>
            <w:vAlign w:val="center"/>
          </w:tcPr>
          <w:p w14:paraId="54E9E088" w14:textId="0A3D0D99" w:rsidR="009942FD" w:rsidRPr="00177BDE" w:rsidRDefault="009942FD" w:rsidP="001E34B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77BDE">
              <w:rPr>
                <w:sz w:val="28"/>
                <w:szCs w:val="28"/>
              </w:rPr>
              <w:sym w:font="Wingdings" w:char="F06F"/>
            </w:r>
          </w:p>
        </w:tc>
      </w:tr>
      <w:tr w:rsidR="009942FD" w:rsidRPr="00B25C18" w14:paraId="54E9E08D" w14:textId="77777777" w:rsidTr="001E34B9">
        <w:trPr>
          <w:trHeight w:val="402"/>
        </w:trPr>
        <w:tc>
          <w:tcPr>
            <w:tcW w:w="2411" w:type="dxa"/>
            <w:vMerge/>
          </w:tcPr>
          <w:p w14:paraId="54E9E08A" w14:textId="77777777" w:rsidR="009942FD" w:rsidRPr="005F61CD" w:rsidRDefault="009942FD" w:rsidP="00FE66D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</w:tcPr>
          <w:p w14:paraId="0F306C35" w14:textId="77777777" w:rsidR="009942FD" w:rsidRPr="005F61CD" w:rsidRDefault="009942FD" w:rsidP="00FE66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F61CD">
              <w:rPr>
                <w:sz w:val="20"/>
                <w:szCs w:val="20"/>
              </w:rPr>
              <w:t>Learner believes the assessment was marked inappropriately</w:t>
            </w:r>
          </w:p>
        </w:tc>
        <w:tc>
          <w:tcPr>
            <w:tcW w:w="1843" w:type="dxa"/>
          </w:tcPr>
          <w:p w14:paraId="54E9E08C" w14:textId="16AD3E01" w:rsidR="009942FD" w:rsidRPr="00177BDE" w:rsidRDefault="009942FD" w:rsidP="002F3311">
            <w:pPr>
              <w:spacing w:before="120" w:line="240" w:lineRule="auto"/>
              <w:jc w:val="center"/>
              <w:rPr>
                <w:sz w:val="28"/>
                <w:szCs w:val="28"/>
              </w:rPr>
            </w:pPr>
            <w:r w:rsidRPr="00177BDE">
              <w:rPr>
                <w:sz w:val="28"/>
                <w:szCs w:val="28"/>
              </w:rPr>
              <w:sym w:font="Wingdings" w:char="F06F"/>
            </w:r>
          </w:p>
        </w:tc>
      </w:tr>
      <w:tr w:rsidR="009942FD" w:rsidRPr="00B25C18" w14:paraId="59C7D0A1" w14:textId="77777777" w:rsidTr="002F3311">
        <w:trPr>
          <w:trHeight w:hRule="exact" w:val="864"/>
        </w:trPr>
        <w:tc>
          <w:tcPr>
            <w:tcW w:w="2411" w:type="dxa"/>
            <w:vMerge/>
          </w:tcPr>
          <w:p w14:paraId="0C346D82" w14:textId="77777777" w:rsidR="009942FD" w:rsidRPr="005F61CD" w:rsidRDefault="009942FD" w:rsidP="00FE66D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</w:tcPr>
          <w:p w14:paraId="3CB315BB" w14:textId="372AA7C0" w:rsidR="009942FD" w:rsidRPr="005F61CD" w:rsidRDefault="00414043" w:rsidP="00FE66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F61CD">
              <w:rPr>
                <w:sz w:val="20"/>
                <w:szCs w:val="20"/>
              </w:rPr>
              <w:t xml:space="preserve">Learner believes assessment conditions did not comply with </w:t>
            </w:r>
            <w:r w:rsidR="007E708B" w:rsidRPr="005F61CD">
              <w:rPr>
                <w:sz w:val="20"/>
                <w:szCs w:val="20"/>
              </w:rPr>
              <w:t>specification,</w:t>
            </w:r>
            <w:r w:rsidRPr="005F61CD">
              <w:rPr>
                <w:sz w:val="20"/>
                <w:szCs w:val="20"/>
              </w:rPr>
              <w:t xml:space="preserve"> and the learner reported the situation immediately to the relevant staff member</w:t>
            </w:r>
          </w:p>
        </w:tc>
        <w:tc>
          <w:tcPr>
            <w:tcW w:w="1843" w:type="dxa"/>
            <w:vAlign w:val="center"/>
          </w:tcPr>
          <w:p w14:paraId="5259CAD9" w14:textId="3282C3AC" w:rsidR="009942FD" w:rsidRPr="00177BDE" w:rsidRDefault="001E34B9" w:rsidP="002F3311">
            <w:pPr>
              <w:pStyle w:val="ListParagraph"/>
              <w:spacing w:after="0" w:line="240" w:lineRule="auto"/>
              <w:ind w:left="0"/>
              <w:contextualSpacing/>
              <w:jc w:val="center"/>
              <w:rPr>
                <w:sz w:val="28"/>
                <w:szCs w:val="28"/>
              </w:rPr>
            </w:pPr>
            <w:r w:rsidRPr="00177BDE">
              <w:rPr>
                <w:sz w:val="28"/>
                <w:szCs w:val="28"/>
              </w:rPr>
              <w:sym w:font="Wingdings" w:char="F06F"/>
            </w:r>
          </w:p>
        </w:tc>
      </w:tr>
      <w:tr w:rsidR="009942FD" w:rsidRPr="00B25C18" w14:paraId="54E9E091" w14:textId="77777777" w:rsidTr="001408F8">
        <w:trPr>
          <w:trHeight w:hRule="exact" w:val="1460"/>
        </w:trPr>
        <w:tc>
          <w:tcPr>
            <w:tcW w:w="2411" w:type="dxa"/>
            <w:vMerge/>
          </w:tcPr>
          <w:p w14:paraId="54E9E08E" w14:textId="77777777" w:rsidR="009942FD" w:rsidRPr="005F61CD" w:rsidRDefault="009942FD" w:rsidP="00FE66D4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</w:tcPr>
          <w:p w14:paraId="54E9E08F" w14:textId="3EE8EBD2" w:rsidR="009942FD" w:rsidRPr="005F61CD" w:rsidRDefault="00E125AF" w:rsidP="00FE66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C372C">
              <w:rPr>
                <w:sz w:val="20"/>
                <w:szCs w:val="20"/>
              </w:rPr>
              <w:t>The learner maintains that all Module Intended Learning Outcomes (MIMLOs) have been met. On this basis, the learner formally requests reconsideration of the assessment outcome and a review of the recorded grade of 49%, with a view to its amendment to reflect the full marks achieved.</w:t>
            </w:r>
          </w:p>
        </w:tc>
        <w:tc>
          <w:tcPr>
            <w:tcW w:w="1843" w:type="dxa"/>
            <w:vAlign w:val="center"/>
          </w:tcPr>
          <w:p w14:paraId="54E9E090" w14:textId="77777777" w:rsidR="009942FD" w:rsidRPr="00177BDE" w:rsidRDefault="009942FD" w:rsidP="001E34B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77BDE">
              <w:rPr>
                <w:sz w:val="28"/>
                <w:szCs w:val="28"/>
              </w:rPr>
              <w:sym w:font="Wingdings" w:char="F06F"/>
            </w:r>
          </w:p>
        </w:tc>
      </w:tr>
      <w:tr w:rsidR="00947913" w:rsidRPr="00B25C18" w14:paraId="54E9E097" w14:textId="77777777" w:rsidTr="001408F8">
        <w:trPr>
          <w:trHeight w:hRule="exact" w:val="1546"/>
        </w:trPr>
        <w:tc>
          <w:tcPr>
            <w:tcW w:w="10349" w:type="dxa"/>
            <w:gridSpan w:val="3"/>
          </w:tcPr>
          <w:p w14:paraId="54E9E092" w14:textId="77777777" w:rsidR="00947913" w:rsidRDefault="00947913" w:rsidP="00FE66D4">
            <w:pPr>
              <w:spacing w:before="60" w:after="0" w:line="240" w:lineRule="auto"/>
              <w:ind w:left="720" w:hanging="720"/>
              <w:jc w:val="center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 xml:space="preserve">The appeal can only include previously presented securely retained evidence.   </w:t>
            </w:r>
          </w:p>
          <w:p w14:paraId="54E9E093" w14:textId="77777777" w:rsidR="00947913" w:rsidRPr="005F61CD" w:rsidRDefault="00947913" w:rsidP="00FE66D4">
            <w:pPr>
              <w:spacing w:before="60" w:after="0" w:line="240" w:lineRule="auto"/>
              <w:ind w:left="720" w:hanging="720"/>
              <w:jc w:val="center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N</w:t>
            </w:r>
            <w:r w:rsidRPr="005F61CD">
              <w:rPr>
                <w:sz w:val="20"/>
                <w:szCs w:val="20"/>
                <w:lang w:val="en-IE"/>
              </w:rPr>
              <w:t>ew evidence can</w:t>
            </w:r>
            <w:r>
              <w:rPr>
                <w:sz w:val="20"/>
                <w:szCs w:val="20"/>
                <w:lang w:val="en-IE"/>
              </w:rPr>
              <w:t>not be submitted</w:t>
            </w:r>
          </w:p>
          <w:p w14:paraId="54E9E094" w14:textId="77777777" w:rsidR="00947913" w:rsidRDefault="00947913" w:rsidP="00FE66D4">
            <w:pPr>
              <w:spacing w:after="0" w:line="120" w:lineRule="exact"/>
              <w:ind w:left="720" w:hanging="720"/>
              <w:jc w:val="center"/>
              <w:rPr>
                <w:b/>
                <w:sz w:val="20"/>
                <w:szCs w:val="20"/>
                <w:lang w:val="en-IE"/>
              </w:rPr>
            </w:pPr>
          </w:p>
          <w:p w14:paraId="54E9E095" w14:textId="77777777" w:rsidR="00947913" w:rsidRPr="005F61CD" w:rsidRDefault="00947913" w:rsidP="00FE66D4">
            <w:pPr>
              <w:spacing w:after="0" w:line="240" w:lineRule="auto"/>
              <w:ind w:left="720" w:hanging="720"/>
              <w:jc w:val="center"/>
              <w:rPr>
                <w:b/>
                <w:sz w:val="20"/>
                <w:szCs w:val="20"/>
                <w:lang w:val="en-IE"/>
              </w:rPr>
            </w:pPr>
            <w:r w:rsidRPr="005F61CD">
              <w:rPr>
                <w:b/>
                <w:sz w:val="20"/>
                <w:szCs w:val="20"/>
                <w:lang w:val="en-IE"/>
              </w:rPr>
              <w:t xml:space="preserve">No other documentation in relation to the appeal can be submitted, </w:t>
            </w:r>
          </w:p>
          <w:p w14:paraId="54E9E096" w14:textId="77777777" w:rsidR="00947913" w:rsidRPr="003E77E5" w:rsidRDefault="00947913" w:rsidP="00FE66D4">
            <w:pPr>
              <w:spacing w:after="0" w:line="240" w:lineRule="auto"/>
              <w:ind w:left="720" w:hanging="720"/>
              <w:jc w:val="center"/>
              <w:rPr>
                <w:i/>
                <w:sz w:val="20"/>
                <w:szCs w:val="20"/>
                <w:lang w:val="en-IE"/>
              </w:rPr>
            </w:pPr>
            <w:r w:rsidRPr="003E77E5">
              <w:rPr>
                <w:i/>
                <w:sz w:val="20"/>
                <w:szCs w:val="20"/>
                <w:lang w:val="en-IE"/>
              </w:rPr>
              <w:t>(e.g. explanation letter to Appeals Examiner as any form of canvassing forfeits the appeal)</w:t>
            </w:r>
          </w:p>
        </w:tc>
      </w:tr>
    </w:tbl>
    <w:p w14:paraId="54E9E099" w14:textId="1943E60E" w:rsidR="00D945D8" w:rsidRDefault="00D945D8"/>
    <w:sectPr w:rsidR="00D945D8" w:rsidSect="001C5A02">
      <w:footerReference w:type="default" r:id="rId7"/>
      <w:pgSz w:w="11906" w:h="16838"/>
      <w:pgMar w:top="1440" w:right="1440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C62DD" w14:textId="77777777" w:rsidR="008D71B6" w:rsidRDefault="008D71B6" w:rsidP="00947913">
      <w:pPr>
        <w:spacing w:after="0" w:line="240" w:lineRule="auto"/>
      </w:pPr>
      <w:r>
        <w:separator/>
      </w:r>
    </w:p>
  </w:endnote>
  <w:endnote w:type="continuationSeparator" w:id="0">
    <w:p w14:paraId="50D055A3" w14:textId="77777777" w:rsidR="008D71B6" w:rsidRDefault="008D71B6" w:rsidP="00947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9E09E" w14:textId="23E44860" w:rsidR="00183BF8" w:rsidRDefault="00F13BD5" w:rsidP="00183BF8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B940AD" wp14:editId="64EC63F5">
          <wp:simplePos x="0" y="0"/>
          <wp:positionH relativeFrom="column">
            <wp:posOffset>-483607</wp:posOffset>
          </wp:positionH>
          <wp:positionV relativeFrom="page">
            <wp:posOffset>9806152</wp:posOffset>
          </wp:positionV>
          <wp:extent cx="7047230" cy="756285"/>
          <wp:effectExtent l="0" t="0" r="1270" b="5715"/>
          <wp:wrapTopAndBottom/>
          <wp:docPr id="77532804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488207" name="Picture 4954882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72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8F119" w14:textId="77777777" w:rsidR="008D71B6" w:rsidRDefault="008D71B6" w:rsidP="00947913">
      <w:pPr>
        <w:spacing w:after="0" w:line="240" w:lineRule="auto"/>
      </w:pPr>
      <w:r>
        <w:separator/>
      </w:r>
    </w:p>
  </w:footnote>
  <w:footnote w:type="continuationSeparator" w:id="0">
    <w:p w14:paraId="11774312" w14:textId="77777777" w:rsidR="008D71B6" w:rsidRDefault="008D71B6" w:rsidP="00947913">
      <w:pPr>
        <w:spacing w:after="0" w:line="240" w:lineRule="auto"/>
      </w:pPr>
      <w:r>
        <w:continuationSeparator/>
      </w:r>
    </w:p>
  </w:footnote>
  <w:footnote w:id="1">
    <w:p w14:paraId="54E9E0A3" w14:textId="3FD0C183" w:rsidR="00947913" w:rsidRDefault="00947913" w:rsidP="00947913">
      <w:pPr>
        <w:pStyle w:val="FootnoteText"/>
      </w:pPr>
      <w:r w:rsidRPr="002B7296">
        <w:rPr>
          <w:rStyle w:val="FootnoteReference"/>
          <w:color w:val="1F4E79"/>
        </w:rPr>
        <w:footnoteRef/>
      </w:r>
      <w:r w:rsidRPr="002B7296">
        <w:rPr>
          <w:color w:val="1F4E79"/>
        </w:rPr>
        <w:t xml:space="preserve"> </w:t>
      </w:r>
      <w:r w:rsidRPr="002B7296">
        <w:rPr>
          <w:b/>
          <w:color w:val="1F4E79"/>
          <w:sz w:val="16"/>
          <w:szCs w:val="16"/>
        </w:rPr>
        <w:t>The Appeal Reference Number</w:t>
      </w:r>
      <w:r w:rsidRPr="002B7296">
        <w:rPr>
          <w:color w:val="1F4E79"/>
          <w:sz w:val="16"/>
          <w:szCs w:val="16"/>
        </w:rPr>
        <w:t xml:space="preserve"> ensures the learners payment can be tracked by the </w:t>
      </w:r>
      <w:proofErr w:type="spellStart"/>
      <w:r w:rsidRPr="002B7296">
        <w:rPr>
          <w:color w:val="1F4E79"/>
          <w:sz w:val="16"/>
          <w:szCs w:val="16"/>
        </w:rPr>
        <w:t>centre</w:t>
      </w:r>
      <w:proofErr w:type="spellEnd"/>
      <w:r w:rsidR="005734FE">
        <w:rPr>
          <w:color w:val="1F4E79"/>
          <w:sz w:val="16"/>
          <w:szCs w:val="16"/>
        </w:rPr>
        <w:t>,</w:t>
      </w:r>
      <w:r w:rsidR="00E67DBF">
        <w:rPr>
          <w:color w:val="1F4E79"/>
          <w:sz w:val="16"/>
          <w:szCs w:val="16"/>
        </w:rPr>
        <w:t xml:space="preserve"> the appeals office and Head Office banking</w:t>
      </w:r>
      <w:r w:rsidR="00E67DBF" w:rsidRPr="002B7296">
        <w:rPr>
          <w:color w:val="1F4E79"/>
          <w:sz w:val="16"/>
          <w:szCs w:val="16"/>
        </w:rPr>
        <w:t>.</w:t>
      </w:r>
      <w:r w:rsidRPr="002B7296">
        <w:rPr>
          <w:color w:val="1F4E79"/>
          <w:sz w:val="16"/>
          <w:szCs w:val="16"/>
        </w:rPr>
        <w:t xml:space="preserve"> Refunds must be verified by the details provided by learners linked to </w:t>
      </w:r>
      <w:proofErr w:type="spellStart"/>
      <w:r w:rsidRPr="004D1811">
        <w:rPr>
          <w:color w:val="1F4E79" w:themeColor="accent1" w:themeShade="80"/>
          <w:sz w:val="16"/>
          <w:szCs w:val="16"/>
        </w:rPr>
        <w:t>centres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F31E7"/>
    <w:multiLevelType w:val="hybridMultilevel"/>
    <w:tmpl w:val="18D05DB6"/>
    <w:lvl w:ilvl="0" w:tplc="EAE61F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817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913"/>
    <w:rsid w:val="00042594"/>
    <w:rsid w:val="00106D26"/>
    <w:rsid w:val="00122BB8"/>
    <w:rsid w:val="001321D9"/>
    <w:rsid w:val="001408F8"/>
    <w:rsid w:val="00177BDE"/>
    <w:rsid w:val="00182E28"/>
    <w:rsid w:val="00183BF8"/>
    <w:rsid w:val="00186FE2"/>
    <w:rsid w:val="001C5A02"/>
    <w:rsid w:val="001E34B9"/>
    <w:rsid w:val="0023094F"/>
    <w:rsid w:val="002B7C9D"/>
    <w:rsid w:val="002F3311"/>
    <w:rsid w:val="003268D7"/>
    <w:rsid w:val="00373986"/>
    <w:rsid w:val="003C5A72"/>
    <w:rsid w:val="00414043"/>
    <w:rsid w:val="004D1811"/>
    <w:rsid w:val="00520989"/>
    <w:rsid w:val="005734FE"/>
    <w:rsid w:val="00646EB4"/>
    <w:rsid w:val="00785B05"/>
    <w:rsid w:val="007E708B"/>
    <w:rsid w:val="008103D8"/>
    <w:rsid w:val="008D3537"/>
    <w:rsid w:val="008D71B6"/>
    <w:rsid w:val="008E2844"/>
    <w:rsid w:val="00947913"/>
    <w:rsid w:val="00962331"/>
    <w:rsid w:val="009942FD"/>
    <w:rsid w:val="00A36507"/>
    <w:rsid w:val="00A77E42"/>
    <w:rsid w:val="00B77719"/>
    <w:rsid w:val="00BD568C"/>
    <w:rsid w:val="00BE0512"/>
    <w:rsid w:val="00C33848"/>
    <w:rsid w:val="00C554A3"/>
    <w:rsid w:val="00D868B8"/>
    <w:rsid w:val="00D91DE1"/>
    <w:rsid w:val="00D945D8"/>
    <w:rsid w:val="00E125AF"/>
    <w:rsid w:val="00E45F08"/>
    <w:rsid w:val="00E67DBF"/>
    <w:rsid w:val="00E945A4"/>
    <w:rsid w:val="00F13BD5"/>
    <w:rsid w:val="00FB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9E078"/>
  <w15:chartTrackingRefBased/>
  <w15:docId w15:val="{84F80177-96F4-4349-8105-F707633FB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913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lue">
    <w:name w:val="Heading Blue"/>
    <w:basedOn w:val="Normal"/>
    <w:link w:val="HeadingBlueChar"/>
    <w:qFormat/>
    <w:rsid w:val="00FB03BF"/>
    <w:rPr>
      <w:color w:val="2E74B5" w:themeColor="accent1" w:themeShade="BF"/>
      <w:sz w:val="44"/>
    </w:rPr>
  </w:style>
  <w:style w:type="character" w:customStyle="1" w:styleId="HeadingBlueChar">
    <w:name w:val="Heading Blue Char"/>
    <w:basedOn w:val="DefaultParagraphFont"/>
    <w:link w:val="HeadingBlue"/>
    <w:rsid w:val="00FB03BF"/>
    <w:rPr>
      <w:color w:val="2E74B5" w:themeColor="accent1" w:themeShade="BF"/>
      <w:sz w:val="44"/>
    </w:rPr>
  </w:style>
  <w:style w:type="paragraph" w:styleId="ListParagraph">
    <w:name w:val="List Paragraph"/>
    <w:basedOn w:val="Normal"/>
    <w:uiPriority w:val="34"/>
    <w:qFormat/>
    <w:rsid w:val="00947913"/>
    <w:pPr>
      <w:ind w:left="720"/>
    </w:pPr>
  </w:style>
  <w:style w:type="paragraph" w:styleId="FootnoteText">
    <w:name w:val="footnote text"/>
    <w:basedOn w:val="Normal"/>
    <w:link w:val="FootnoteTextChar"/>
    <w:uiPriority w:val="99"/>
    <w:unhideWhenUsed/>
    <w:rsid w:val="009479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913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94791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83B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BF8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83B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BF8"/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425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5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594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5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594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CDU</dc:creator>
  <cp:keywords/>
  <dc:description/>
  <cp:lastModifiedBy>Barbara Galvin</cp:lastModifiedBy>
  <cp:revision>27</cp:revision>
  <dcterms:created xsi:type="dcterms:W3CDTF">2026-04-02T17:28:00Z</dcterms:created>
  <dcterms:modified xsi:type="dcterms:W3CDTF">2026-04-10T09:21:00Z</dcterms:modified>
</cp:coreProperties>
</file>